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A1E13"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Додаток № 1</w:t>
      </w:r>
    </w:p>
    <w:p w14:paraId="6010A58D"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до договору про постачання</w:t>
      </w:r>
    </w:p>
    <w:p w14:paraId="79AC0CBA"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електричної енергії споживачу</w:t>
      </w:r>
    </w:p>
    <w:p w14:paraId="58713B19"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від ___________ № _________</w:t>
      </w:r>
    </w:p>
    <w:p w14:paraId="0AF50DEB"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p>
    <w:p w14:paraId="7623B00F"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p w14:paraId="5226186C" w14:textId="19D97735" w:rsidR="001D08B0"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Комерційна пропозиція</w:t>
      </w:r>
    </w:p>
    <w:p w14:paraId="46BEDEC1" w14:textId="23747C4A" w:rsidR="00271E6F" w:rsidRDefault="00271E6F" w:rsidP="001D08B0">
      <w:pPr>
        <w:spacing w:after="0" w:line="240" w:lineRule="auto"/>
        <w:jc w:val="center"/>
        <w:rPr>
          <w:rFonts w:ascii="Times New Roman" w:eastAsia="Times New Roman" w:hAnsi="Times New Roman" w:cs="Times New Roman"/>
          <w:b/>
          <w:sz w:val="24"/>
          <w:szCs w:val="24"/>
          <w:lang w:eastAsia="uk-UA"/>
        </w:rPr>
      </w:pPr>
    </w:p>
    <w:p w14:paraId="46D0E51F" w14:textId="568A172D" w:rsidR="00271E6F" w:rsidRPr="00271E6F" w:rsidRDefault="00271E6F" w:rsidP="00271E6F">
      <w:pPr>
        <w:spacing w:after="0" w:line="240" w:lineRule="auto"/>
        <w:ind w:left="-426" w:right="-426" w:firstLine="426"/>
        <w:jc w:val="both"/>
        <w:rPr>
          <w:rFonts w:ascii="Times New Roman" w:hAnsi="Times New Roman" w:cs="Times New Roman"/>
        </w:rPr>
      </w:pPr>
      <w:r w:rsidRPr="00271E6F">
        <w:rPr>
          <w:rFonts w:ascii="Times New Roman" w:hAnsi="Times New Roman" w:cs="Times New Roman"/>
        </w:rPr>
        <w:t>Комерційна пропозиція ТОВ «</w:t>
      </w:r>
      <w:proofErr w:type="spellStart"/>
      <w:r w:rsidRPr="00271E6F">
        <w:rPr>
          <w:rFonts w:ascii="Times New Roman" w:hAnsi="Times New Roman" w:cs="Times New Roman"/>
        </w:rPr>
        <w:t>Т</w:t>
      </w:r>
      <w:r w:rsidRPr="00271E6F">
        <w:rPr>
          <w:rFonts w:ascii="Times New Roman" w:hAnsi="Times New Roman" w:cs="Times New Roman"/>
        </w:rPr>
        <w:t>аргет</w:t>
      </w:r>
      <w:proofErr w:type="spellEnd"/>
      <w:r w:rsidRPr="00271E6F">
        <w:rPr>
          <w:rFonts w:ascii="Times New Roman" w:hAnsi="Times New Roman" w:cs="Times New Roman"/>
        </w:rPr>
        <w:t xml:space="preserve"> Енерджі</w:t>
      </w:r>
      <w:r w:rsidRPr="00271E6F">
        <w:rPr>
          <w:rFonts w:ascii="Times New Roman" w:hAnsi="Times New Roman" w:cs="Times New Roman"/>
        </w:rPr>
        <w:t xml:space="preserve">» розроблена відповідно до Закону України «Про ринок електричної енергії» та Правил роздрібного ринку електричної енергії, затверджених Постановою НКРЕКП від 14.03.2018р. №312 (далі – ПРРЕЕ), із змінами та доповненнями. </w:t>
      </w:r>
    </w:p>
    <w:tbl>
      <w:tblPr>
        <w:tblpPr w:leftFromText="180" w:rightFromText="180" w:vertAnchor="text" w:horzAnchor="page" w:tblpX="1237" w:tblpY="404"/>
        <w:tblW w:w="10230" w:type="dxa"/>
        <w:tblLayout w:type="fixed"/>
        <w:tblCellMar>
          <w:top w:w="20" w:type="dxa"/>
          <w:left w:w="20" w:type="dxa"/>
          <w:right w:w="20" w:type="dxa"/>
        </w:tblCellMar>
        <w:tblLook w:val="04A0" w:firstRow="1" w:lastRow="0" w:firstColumn="1" w:lastColumn="0" w:noHBand="0" w:noVBand="1"/>
      </w:tblPr>
      <w:tblGrid>
        <w:gridCol w:w="380"/>
        <w:gridCol w:w="2734"/>
        <w:gridCol w:w="875"/>
        <w:gridCol w:w="1134"/>
        <w:gridCol w:w="1134"/>
        <w:gridCol w:w="1988"/>
        <w:gridCol w:w="1985"/>
      </w:tblGrid>
      <w:tr w:rsidR="001D08B0" w:rsidRPr="009C4A3A" w14:paraId="1337DAA5" w14:textId="77777777" w:rsidTr="001D08B0">
        <w:trPr>
          <w:cantSplit/>
          <w:trHeight w:val="876"/>
        </w:trPr>
        <w:tc>
          <w:tcPr>
            <w:tcW w:w="380" w:type="dxa"/>
            <w:tcBorders>
              <w:top w:val="single" w:sz="4" w:space="0" w:color="auto"/>
              <w:left w:val="single" w:sz="4" w:space="0" w:color="auto"/>
              <w:bottom w:val="single" w:sz="4" w:space="0" w:color="000000"/>
              <w:right w:val="nil"/>
            </w:tcBorders>
            <w:vAlign w:val="center"/>
          </w:tcPr>
          <w:p w14:paraId="6F182416"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w:t>
            </w:r>
          </w:p>
          <w:p w14:paraId="0C2D60AF"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п/п</w:t>
            </w:r>
          </w:p>
        </w:tc>
        <w:tc>
          <w:tcPr>
            <w:tcW w:w="2734" w:type="dxa"/>
            <w:tcBorders>
              <w:top w:val="single" w:sz="4" w:space="0" w:color="auto"/>
              <w:left w:val="single" w:sz="4" w:space="0" w:color="000000"/>
              <w:bottom w:val="single" w:sz="4" w:space="0" w:color="000000"/>
              <w:right w:val="single" w:sz="4" w:space="0" w:color="auto"/>
            </w:tcBorders>
            <w:vAlign w:val="center"/>
            <w:hideMark/>
          </w:tcPr>
          <w:p w14:paraId="43E2DF08"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Найменування</w:t>
            </w:r>
          </w:p>
          <w:p w14:paraId="71931E5B"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sz w:val="20"/>
                <w:szCs w:val="20"/>
                <w:lang w:eastAsia="uk-UA"/>
              </w:rPr>
              <w:t>предмету</w:t>
            </w:r>
            <w:r>
              <w:rPr>
                <w:rFonts w:ascii="Times New Roman" w:eastAsia="Times New Roman" w:hAnsi="Times New Roman" w:cs="Times New Roman"/>
                <w:b/>
                <w:sz w:val="20"/>
                <w:szCs w:val="20"/>
                <w:lang w:eastAsia="uk-UA"/>
              </w:rPr>
              <w:t xml:space="preserve"> </w:t>
            </w:r>
            <w:r w:rsidRPr="009C4A3A">
              <w:rPr>
                <w:rFonts w:ascii="Times New Roman" w:eastAsia="Times New Roman" w:hAnsi="Times New Roman" w:cs="Times New Roman"/>
                <w:b/>
                <w:sz w:val="20"/>
                <w:szCs w:val="20"/>
                <w:lang w:eastAsia="uk-UA"/>
              </w:rPr>
              <w:t>закупівлі</w:t>
            </w:r>
          </w:p>
        </w:tc>
        <w:tc>
          <w:tcPr>
            <w:tcW w:w="875" w:type="dxa"/>
            <w:tcBorders>
              <w:top w:val="single" w:sz="4" w:space="0" w:color="auto"/>
              <w:left w:val="single" w:sz="4" w:space="0" w:color="auto"/>
              <w:bottom w:val="single" w:sz="4" w:space="0" w:color="000000"/>
              <w:right w:val="nil"/>
            </w:tcBorders>
            <w:vAlign w:val="center"/>
          </w:tcPr>
          <w:p w14:paraId="34006AD7"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Клас</w:t>
            </w:r>
            <w:r>
              <w:rPr>
                <w:rFonts w:ascii="Times New Roman" w:eastAsia="Times New Roman" w:hAnsi="Times New Roman" w:cs="Times New Roman"/>
                <w:b/>
                <w:bCs/>
                <w:sz w:val="20"/>
                <w:szCs w:val="20"/>
                <w:lang w:eastAsia="uk-UA"/>
              </w:rPr>
              <w:t xml:space="preserve"> </w:t>
            </w:r>
            <w:r w:rsidRPr="009C4A3A">
              <w:rPr>
                <w:rFonts w:ascii="Times New Roman" w:eastAsia="Times New Roman" w:hAnsi="Times New Roman" w:cs="Times New Roman"/>
                <w:b/>
                <w:bCs/>
                <w:sz w:val="20"/>
                <w:szCs w:val="20"/>
                <w:lang w:eastAsia="uk-UA"/>
              </w:rPr>
              <w:t>напруги</w:t>
            </w:r>
          </w:p>
        </w:tc>
        <w:tc>
          <w:tcPr>
            <w:tcW w:w="1134" w:type="dxa"/>
            <w:tcBorders>
              <w:top w:val="single" w:sz="4" w:space="0" w:color="auto"/>
              <w:left w:val="single" w:sz="4" w:space="0" w:color="000000"/>
              <w:bottom w:val="single" w:sz="4" w:space="0" w:color="000000"/>
              <w:right w:val="nil"/>
            </w:tcBorders>
            <w:vAlign w:val="center"/>
            <w:hideMark/>
          </w:tcPr>
          <w:p w14:paraId="0F0F9599"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Одиниця</w:t>
            </w:r>
          </w:p>
          <w:p w14:paraId="63EAB9BD"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виміру</w:t>
            </w:r>
          </w:p>
        </w:tc>
        <w:tc>
          <w:tcPr>
            <w:tcW w:w="1134" w:type="dxa"/>
            <w:tcBorders>
              <w:top w:val="single" w:sz="4" w:space="0" w:color="auto"/>
              <w:left w:val="single" w:sz="4" w:space="0" w:color="000000"/>
              <w:bottom w:val="single" w:sz="4" w:space="0" w:color="000000"/>
              <w:right w:val="nil"/>
            </w:tcBorders>
            <w:vAlign w:val="center"/>
            <w:hideMark/>
          </w:tcPr>
          <w:p w14:paraId="3EE4797A"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bCs/>
                <w:sz w:val="20"/>
                <w:szCs w:val="20"/>
                <w:lang w:eastAsia="uk-UA"/>
              </w:rPr>
              <w:t>Кількість</w:t>
            </w:r>
          </w:p>
        </w:tc>
        <w:tc>
          <w:tcPr>
            <w:tcW w:w="1988" w:type="dxa"/>
            <w:tcBorders>
              <w:top w:val="single" w:sz="4" w:space="0" w:color="auto"/>
              <w:left w:val="single" w:sz="4" w:space="0" w:color="000000"/>
              <w:bottom w:val="single" w:sz="4" w:space="0" w:color="000000"/>
              <w:right w:val="nil"/>
            </w:tcBorders>
            <w:vAlign w:val="center"/>
            <w:hideMark/>
          </w:tcPr>
          <w:p w14:paraId="5E1513C9" w14:textId="77777777" w:rsidR="001D08B0" w:rsidRPr="009C4A3A" w:rsidRDefault="001D08B0" w:rsidP="001D08B0">
            <w:pPr>
              <w:spacing w:after="0" w:line="240" w:lineRule="auto"/>
              <w:jc w:val="center"/>
              <w:rPr>
                <w:rFonts w:ascii="Times New Roman" w:eastAsia="Times New Roman" w:hAnsi="Times New Roman" w:cs="Times New Roman"/>
                <w:b/>
                <w:i/>
                <w:sz w:val="20"/>
                <w:szCs w:val="20"/>
                <w:u w:val="single"/>
                <w:lang w:eastAsia="uk-UA"/>
              </w:rPr>
            </w:pPr>
            <w:r w:rsidRPr="009C4A3A">
              <w:rPr>
                <w:rFonts w:ascii="Times New Roman" w:eastAsia="Times New Roman" w:hAnsi="Times New Roman" w:cs="Times New Roman"/>
                <w:b/>
                <w:sz w:val="20"/>
                <w:szCs w:val="20"/>
                <w:lang w:eastAsia="uk-UA"/>
              </w:rPr>
              <w:t>Ціна за 1 кВт/год</w:t>
            </w:r>
          </w:p>
          <w:p w14:paraId="69A4F762"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i/>
                <w:sz w:val="20"/>
                <w:szCs w:val="20"/>
                <w:u w:val="single"/>
                <w:lang w:eastAsia="uk-UA"/>
              </w:rPr>
              <w:t>(з урахуванням ПДВ</w:t>
            </w:r>
            <w:r w:rsidRPr="009C4A3A">
              <w:rPr>
                <w:rFonts w:ascii="Times New Roman" w:eastAsia="Times New Roman" w:hAnsi="Times New Roman" w:cs="Times New Roman"/>
                <w:b/>
                <w:i/>
                <w:sz w:val="20"/>
                <w:szCs w:val="20"/>
                <w:lang w:eastAsia="uk-UA"/>
              </w:rPr>
              <w:t>)</w:t>
            </w:r>
            <w:r w:rsidRPr="009C4A3A">
              <w:rPr>
                <w:rFonts w:ascii="Times New Roman" w:eastAsia="Times New Roman" w:hAnsi="Times New Roman" w:cs="Times New Roman"/>
                <w:b/>
                <w:sz w:val="20"/>
                <w:szCs w:val="20"/>
                <w:lang w:eastAsia="uk-UA"/>
              </w:rPr>
              <w:t>, грн</w:t>
            </w:r>
          </w:p>
        </w:tc>
        <w:tc>
          <w:tcPr>
            <w:tcW w:w="1985" w:type="dxa"/>
            <w:tcBorders>
              <w:top w:val="single" w:sz="4" w:space="0" w:color="auto"/>
              <w:left w:val="single" w:sz="4" w:space="0" w:color="000000"/>
              <w:bottom w:val="single" w:sz="4" w:space="0" w:color="000000"/>
              <w:right w:val="single" w:sz="4" w:space="0" w:color="auto"/>
            </w:tcBorders>
            <w:vAlign w:val="center"/>
            <w:hideMark/>
          </w:tcPr>
          <w:p w14:paraId="78B363FB"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Вартість</w:t>
            </w:r>
            <w:r>
              <w:rPr>
                <w:rFonts w:ascii="Times New Roman" w:eastAsia="Times New Roman" w:hAnsi="Times New Roman" w:cs="Times New Roman"/>
                <w:b/>
                <w:sz w:val="20"/>
                <w:szCs w:val="20"/>
                <w:lang w:eastAsia="uk-UA"/>
              </w:rPr>
              <w:t xml:space="preserve"> </w:t>
            </w:r>
            <w:r w:rsidRPr="009C4A3A">
              <w:rPr>
                <w:rFonts w:ascii="Times New Roman" w:eastAsia="Times New Roman" w:hAnsi="Times New Roman" w:cs="Times New Roman"/>
                <w:b/>
                <w:sz w:val="20"/>
                <w:szCs w:val="20"/>
                <w:lang w:eastAsia="uk-UA"/>
              </w:rPr>
              <w:t>пропозиції</w:t>
            </w:r>
          </w:p>
          <w:p w14:paraId="150F9E48"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i/>
                <w:sz w:val="20"/>
                <w:szCs w:val="20"/>
                <w:u w:val="single"/>
                <w:lang w:eastAsia="uk-UA"/>
              </w:rPr>
              <w:t>(з урахуванням ПДВ)</w:t>
            </w:r>
            <w:r w:rsidRPr="009C4A3A">
              <w:rPr>
                <w:rFonts w:ascii="Times New Roman" w:eastAsia="Times New Roman" w:hAnsi="Times New Roman" w:cs="Times New Roman"/>
                <w:b/>
                <w:sz w:val="20"/>
                <w:szCs w:val="20"/>
                <w:lang w:eastAsia="uk-UA"/>
              </w:rPr>
              <w:t>, грн</w:t>
            </w:r>
          </w:p>
        </w:tc>
      </w:tr>
      <w:tr w:rsidR="001D08B0" w:rsidRPr="009C4A3A" w14:paraId="0207E592" w14:textId="77777777" w:rsidTr="001D08B0">
        <w:trPr>
          <w:cantSplit/>
          <w:trHeight w:val="342"/>
        </w:trPr>
        <w:tc>
          <w:tcPr>
            <w:tcW w:w="380" w:type="dxa"/>
            <w:tcBorders>
              <w:top w:val="single" w:sz="4" w:space="0" w:color="000000"/>
              <w:left w:val="single" w:sz="4" w:space="0" w:color="auto"/>
              <w:bottom w:val="single" w:sz="4" w:space="0" w:color="000000"/>
              <w:right w:val="nil"/>
            </w:tcBorders>
            <w:vAlign w:val="center"/>
            <w:hideMark/>
          </w:tcPr>
          <w:p w14:paraId="60CB9F0A"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1</w:t>
            </w:r>
          </w:p>
        </w:tc>
        <w:tc>
          <w:tcPr>
            <w:tcW w:w="2734" w:type="dxa"/>
            <w:tcBorders>
              <w:top w:val="single" w:sz="4" w:space="0" w:color="000000"/>
              <w:left w:val="single" w:sz="4" w:space="0" w:color="000000"/>
              <w:bottom w:val="single" w:sz="4" w:space="0" w:color="000000"/>
              <w:right w:val="single" w:sz="4" w:space="0" w:color="auto"/>
            </w:tcBorders>
            <w:vAlign w:val="center"/>
            <w:hideMark/>
          </w:tcPr>
          <w:p w14:paraId="7EA13E30" w14:textId="18D881EA" w:rsidR="001D08B0" w:rsidRPr="009C4A3A" w:rsidRDefault="001D08B0" w:rsidP="001D08B0">
            <w:pPr>
              <w:spacing w:after="0" w:line="240" w:lineRule="auto"/>
              <w:ind w:left="180"/>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Електрична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енергія</w:t>
            </w:r>
          </w:p>
        </w:tc>
        <w:tc>
          <w:tcPr>
            <w:tcW w:w="875" w:type="dxa"/>
            <w:tcBorders>
              <w:top w:val="single" w:sz="4" w:space="0" w:color="000000"/>
              <w:left w:val="single" w:sz="4" w:space="0" w:color="auto"/>
              <w:bottom w:val="single" w:sz="4" w:space="0" w:color="000000"/>
              <w:right w:val="nil"/>
            </w:tcBorders>
            <w:vAlign w:val="center"/>
            <w:hideMark/>
          </w:tcPr>
          <w:p w14:paraId="0ADBA570" w14:textId="44FCAA2D"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tc>
        <w:tc>
          <w:tcPr>
            <w:tcW w:w="1134" w:type="dxa"/>
            <w:tcBorders>
              <w:top w:val="single" w:sz="4" w:space="0" w:color="000000"/>
              <w:left w:val="single" w:sz="4" w:space="0" w:color="000000"/>
              <w:bottom w:val="single" w:sz="4" w:space="0" w:color="000000"/>
              <w:right w:val="nil"/>
            </w:tcBorders>
            <w:vAlign w:val="center"/>
            <w:hideMark/>
          </w:tcPr>
          <w:p w14:paraId="27665FAE"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кВт/год</w:t>
            </w:r>
          </w:p>
        </w:tc>
        <w:tc>
          <w:tcPr>
            <w:tcW w:w="1134" w:type="dxa"/>
            <w:tcBorders>
              <w:top w:val="single" w:sz="4" w:space="0" w:color="000000"/>
              <w:left w:val="single" w:sz="4" w:space="0" w:color="000000"/>
              <w:bottom w:val="single" w:sz="4" w:space="0" w:color="000000"/>
              <w:right w:val="nil"/>
            </w:tcBorders>
            <w:vAlign w:val="center"/>
            <w:hideMark/>
          </w:tcPr>
          <w:p w14:paraId="1D714D36" w14:textId="2C1954B8" w:rsidR="001D08B0" w:rsidRPr="009C4A3A" w:rsidRDefault="001D08B0" w:rsidP="001D08B0">
            <w:pPr>
              <w:spacing w:after="0" w:line="240" w:lineRule="auto"/>
              <w:ind w:left="180"/>
              <w:rPr>
                <w:rFonts w:ascii="Times New Roman" w:eastAsia="Times New Roman" w:hAnsi="Times New Roman" w:cs="Times New Roman"/>
                <w:b/>
                <w:sz w:val="24"/>
                <w:szCs w:val="24"/>
                <w:lang w:eastAsia="uk-UA"/>
              </w:rPr>
            </w:pPr>
          </w:p>
        </w:tc>
        <w:tc>
          <w:tcPr>
            <w:tcW w:w="1988" w:type="dxa"/>
            <w:tcBorders>
              <w:top w:val="single" w:sz="4" w:space="0" w:color="000000"/>
              <w:left w:val="single" w:sz="4" w:space="0" w:color="000000"/>
              <w:bottom w:val="single" w:sz="4" w:space="0" w:color="000000"/>
              <w:right w:val="nil"/>
            </w:tcBorders>
            <w:vAlign w:val="center"/>
          </w:tcPr>
          <w:p w14:paraId="1EABD089" w14:textId="62D3DE8C" w:rsidR="001D08B0" w:rsidRPr="009C4A3A" w:rsidRDefault="001D08B0" w:rsidP="001D08B0">
            <w:pPr>
              <w:snapToGrid w:val="0"/>
              <w:spacing w:after="0" w:line="240" w:lineRule="auto"/>
              <w:jc w:val="center"/>
              <w:rPr>
                <w:rFonts w:ascii="Times New Roman" w:eastAsia="Times New Roman" w:hAnsi="Times New Roman" w:cs="Times New Roman"/>
                <w:b/>
                <w:sz w:val="24"/>
                <w:szCs w:val="24"/>
                <w:lang w:eastAsia="uk-UA"/>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406BC8EC" w14:textId="750D9A8A" w:rsidR="001D08B0" w:rsidRPr="009C4A3A" w:rsidRDefault="001D08B0" w:rsidP="001D08B0">
            <w:pPr>
              <w:snapToGrid w:val="0"/>
              <w:spacing w:after="0" w:line="240" w:lineRule="auto"/>
              <w:jc w:val="center"/>
              <w:rPr>
                <w:rFonts w:ascii="Times New Roman" w:eastAsia="Times New Roman" w:hAnsi="Times New Roman" w:cs="Times New Roman"/>
                <w:b/>
                <w:sz w:val="24"/>
                <w:szCs w:val="24"/>
                <w:lang w:eastAsia="uk-UA"/>
              </w:rPr>
            </w:pPr>
          </w:p>
        </w:tc>
      </w:tr>
      <w:tr w:rsidR="001D08B0" w:rsidRPr="009C4A3A" w14:paraId="390198B0" w14:textId="77777777" w:rsidTr="001D08B0">
        <w:trPr>
          <w:cantSplit/>
          <w:trHeight w:val="264"/>
        </w:trPr>
        <w:tc>
          <w:tcPr>
            <w:tcW w:w="8245" w:type="dxa"/>
            <w:gridSpan w:val="6"/>
            <w:tcBorders>
              <w:top w:val="single" w:sz="4" w:space="0" w:color="000000"/>
              <w:left w:val="single" w:sz="4" w:space="0" w:color="000000"/>
              <w:bottom w:val="single" w:sz="4" w:space="0" w:color="000000"/>
              <w:right w:val="nil"/>
            </w:tcBorders>
            <w:vAlign w:val="center"/>
            <w:hideMark/>
          </w:tcPr>
          <w:p w14:paraId="03FED1BB" w14:textId="77777777" w:rsidR="001D08B0" w:rsidRPr="009C4A3A" w:rsidRDefault="001D08B0" w:rsidP="001D08B0">
            <w:pPr>
              <w:spacing w:after="0" w:line="240" w:lineRule="auto"/>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Загальна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вартість</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пропозиції (без урахування 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61C0B58C" w14:textId="25EE9FBD"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r w:rsidR="001D08B0" w:rsidRPr="009C4A3A" w14:paraId="00DA967A" w14:textId="77777777" w:rsidTr="001D08B0">
        <w:trPr>
          <w:cantSplit/>
          <w:trHeight w:val="255"/>
        </w:trPr>
        <w:tc>
          <w:tcPr>
            <w:tcW w:w="8245" w:type="dxa"/>
            <w:gridSpan w:val="6"/>
            <w:tcBorders>
              <w:top w:val="single" w:sz="4" w:space="0" w:color="000000"/>
              <w:left w:val="single" w:sz="4" w:space="0" w:color="000000"/>
              <w:bottom w:val="single" w:sz="4" w:space="0" w:color="000000"/>
              <w:right w:val="nil"/>
            </w:tcBorders>
            <w:vAlign w:val="center"/>
            <w:hideMark/>
          </w:tcPr>
          <w:p w14:paraId="0D4B6485" w14:textId="77777777" w:rsidR="001D08B0" w:rsidRPr="009C4A3A" w:rsidRDefault="001D08B0" w:rsidP="001D08B0">
            <w:pPr>
              <w:spacing w:after="0" w:line="240" w:lineRule="auto"/>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205BE7DC" w14:textId="4E72D606"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r w:rsidR="001D08B0" w:rsidRPr="009C4A3A" w14:paraId="61503742" w14:textId="77777777" w:rsidTr="001D08B0">
        <w:trPr>
          <w:cantSplit/>
          <w:trHeight w:val="246"/>
        </w:trPr>
        <w:tc>
          <w:tcPr>
            <w:tcW w:w="8245" w:type="dxa"/>
            <w:gridSpan w:val="6"/>
            <w:tcBorders>
              <w:top w:val="single" w:sz="4" w:space="0" w:color="000000"/>
              <w:left w:val="single" w:sz="4" w:space="0" w:color="000000"/>
              <w:bottom w:val="single" w:sz="4" w:space="0" w:color="000000"/>
              <w:right w:val="nil"/>
            </w:tcBorders>
            <w:hideMark/>
          </w:tcPr>
          <w:p w14:paraId="5CCB7899" w14:textId="77777777" w:rsidR="001D08B0" w:rsidRPr="009C4A3A" w:rsidRDefault="001D08B0" w:rsidP="001D08B0">
            <w:pPr>
              <w:spacing w:after="0" w:line="240" w:lineRule="auto"/>
              <w:jc w:val="both"/>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Загальна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вартість</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пропозиції (з урахуванням 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04DE5ADB" w14:textId="26897F25"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bl>
    <w:p w14:paraId="6B160A81"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p w14:paraId="262C2F98" w14:textId="77777777" w:rsidR="00271E6F" w:rsidRDefault="00271E6F" w:rsidP="001D08B0">
      <w:pPr>
        <w:spacing w:after="0" w:line="240" w:lineRule="auto"/>
        <w:rPr>
          <w:rFonts w:ascii="Times New Roman" w:eastAsia="Times New Roman" w:hAnsi="Times New Roman" w:cs="Times New Roman"/>
          <w:b/>
          <w:sz w:val="24"/>
          <w:szCs w:val="24"/>
          <w:lang w:eastAsia="uk-UA"/>
        </w:rPr>
      </w:pPr>
    </w:p>
    <w:p w14:paraId="0D50B013" w14:textId="6F588270" w:rsidR="001D08B0" w:rsidRPr="001D08B0" w:rsidRDefault="00271E6F" w:rsidP="001D08B0">
      <w:pPr>
        <w:spacing w:after="0" w:line="240" w:lineRule="auto"/>
        <w:rPr>
          <w:rFonts w:ascii="Times New Roman" w:eastAsia="Times New Roman" w:hAnsi="Times New Roman" w:cs="Times New Roman"/>
          <w:b/>
          <w:sz w:val="24"/>
          <w:szCs w:val="24"/>
          <w:lang w:val="ru-RU" w:eastAsia="uk-UA"/>
        </w:rPr>
      </w:pPr>
      <w:r>
        <w:rPr>
          <w:rFonts w:ascii="Times New Roman" w:eastAsia="Times New Roman" w:hAnsi="Times New Roman" w:cs="Times New Roman"/>
          <w:b/>
          <w:sz w:val="24"/>
          <w:szCs w:val="24"/>
          <w:lang w:eastAsia="uk-UA"/>
        </w:rPr>
        <w:t>Вартість за 1 кВт/год електричної енергії вираховується за формулою:</w:t>
      </w:r>
    </w:p>
    <w:p w14:paraId="1401905B" w14:textId="77777777" w:rsidR="001D08B0" w:rsidRPr="009C4A3A" w:rsidRDefault="001D08B0" w:rsidP="001D08B0">
      <w:pPr>
        <w:tabs>
          <w:tab w:val="left" w:pos="2634"/>
          <w:tab w:val="center" w:pos="4677"/>
        </w:tabs>
        <w:spacing w:after="0" w:line="240" w:lineRule="auto"/>
        <w:rPr>
          <w:rFonts w:ascii="Times New Roman" w:eastAsia="Times New Roman" w:hAnsi="Times New Roman" w:cs="Times New Roman"/>
          <w:i/>
          <w:sz w:val="24"/>
          <w:szCs w:val="24"/>
          <w:lang w:eastAsia="uk-UA"/>
        </w:rPr>
      </w:pPr>
    </w:p>
    <w:p w14:paraId="0D7CE0D9" w14:textId="10BCD692" w:rsidR="001D08B0" w:rsidRPr="009C4A3A" w:rsidRDefault="001D08B0" w:rsidP="001D08B0">
      <w:pPr>
        <w:spacing w:before="40" w:after="0" w:line="240" w:lineRule="auto"/>
        <w:ind w:firstLine="567"/>
        <w:jc w:val="both"/>
        <w:rPr>
          <w:rFonts w:ascii="Times New Roman" w:eastAsia="Times New Roman" w:hAnsi="Times New Roman" w:cs="Times New Roman"/>
          <w:b/>
          <w:lang w:eastAsia="uk-UA"/>
        </w:rPr>
      </w:pPr>
      <w:proofErr w:type="spellStart"/>
      <w:r w:rsidRPr="009C4A3A">
        <w:rPr>
          <w:rFonts w:ascii="Times New Roman" w:eastAsia="Times New Roman" w:hAnsi="Times New Roman" w:cs="Times New Roman"/>
          <w:b/>
          <w:lang w:eastAsia="uk-UA"/>
        </w:rPr>
        <w:t>Ц</w:t>
      </w:r>
      <w:r w:rsidRPr="009C4A3A">
        <w:rPr>
          <w:rFonts w:ascii="Times New Roman" w:eastAsia="Times New Roman" w:hAnsi="Times New Roman" w:cs="Times New Roman"/>
          <w:b/>
          <w:vertAlign w:val="subscript"/>
          <w:lang w:eastAsia="uk-UA"/>
        </w:rPr>
        <w:t>ел.ен</w:t>
      </w:r>
      <w:proofErr w:type="spellEnd"/>
      <w:r>
        <w:rPr>
          <w:rFonts w:ascii="Times New Roman" w:eastAsia="Times New Roman" w:hAnsi="Times New Roman" w:cs="Times New Roman"/>
          <w:b/>
          <w:vertAlign w:val="subscript"/>
          <w:lang w:eastAsia="uk-UA"/>
        </w:rPr>
        <w:t xml:space="preserve"> </w:t>
      </w:r>
      <w:r w:rsidRPr="009C4A3A">
        <w:rPr>
          <w:rFonts w:ascii="Times New Roman" w:eastAsia="Times New Roman" w:hAnsi="Times New Roman" w:cs="Times New Roman"/>
          <w:b/>
          <w:lang w:eastAsia="uk-UA"/>
        </w:rPr>
        <w:t xml:space="preserve">= </w:t>
      </w:r>
      <w:r>
        <w:rPr>
          <w:rFonts w:ascii="Times New Roman" w:eastAsia="Times New Roman" w:hAnsi="Times New Roman" w:cs="Times New Roman"/>
          <w:b/>
          <w:lang w:eastAsia="uk-UA"/>
        </w:rPr>
        <w:t>(</w:t>
      </w:r>
      <w:r w:rsidRPr="009C4A3A">
        <w:rPr>
          <w:rFonts w:ascii="Times New Roman" w:eastAsia="Times New Roman" w:hAnsi="Times New Roman" w:cs="Times New Roman"/>
          <w:b/>
          <w:lang w:eastAsia="uk-UA"/>
        </w:rPr>
        <w:t>(Ц</w:t>
      </w:r>
      <w:r w:rsidRPr="009C4A3A">
        <w:rPr>
          <w:rFonts w:ascii="Times New Roman" w:eastAsia="Times New Roman" w:hAnsi="Times New Roman" w:cs="Times New Roman"/>
          <w:b/>
          <w:vertAlign w:val="subscript"/>
          <w:lang w:eastAsia="uk-UA"/>
        </w:rPr>
        <w:t>РДН</w:t>
      </w:r>
      <w:r w:rsidRPr="009C4A3A">
        <w:rPr>
          <w:rFonts w:ascii="Times New Roman" w:eastAsia="Times New Roman" w:hAnsi="Times New Roman" w:cs="Times New Roman"/>
          <w:b/>
          <w:lang w:eastAsia="uk-UA"/>
        </w:rPr>
        <w:t xml:space="preserve">* </w:t>
      </w:r>
      <w:proofErr w:type="spellStart"/>
      <w:r w:rsidRPr="009C4A3A">
        <w:rPr>
          <w:rFonts w:ascii="Times New Roman" w:eastAsia="Times New Roman" w:hAnsi="Times New Roman" w:cs="Times New Roman"/>
          <w:b/>
          <w:lang w:eastAsia="uk-UA"/>
        </w:rPr>
        <w:t>Тпост</w:t>
      </w:r>
      <w:proofErr w:type="spellEnd"/>
      <w:r w:rsidRPr="009C4A3A">
        <w:rPr>
          <w:rFonts w:ascii="Times New Roman" w:eastAsia="Times New Roman" w:hAnsi="Times New Roman" w:cs="Times New Roman"/>
          <w:b/>
          <w:lang w:eastAsia="uk-UA"/>
        </w:rPr>
        <w:t>) +Т</w:t>
      </w:r>
      <w:r w:rsidRPr="009C4A3A">
        <w:rPr>
          <w:rFonts w:ascii="Times New Roman" w:eastAsia="Times New Roman" w:hAnsi="Times New Roman" w:cs="Times New Roman"/>
          <w:b/>
          <w:vertAlign w:val="subscript"/>
          <w:lang w:eastAsia="uk-UA"/>
        </w:rPr>
        <w:t>ОСП</w:t>
      </w:r>
      <w:r>
        <w:rPr>
          <w:rFonts w:ascii="Times New Roman" w:eastAsia="Times New Roman" w:hAnsi="Times New Roman" w:cs="Times New Roman"/>
          <w:b/>
          <w:lang w:eastAsia="uk-UA"/>
        </w:rPr>
        <w:t>)</w:t>
      </w:r>
      <w:r w:rsidRPr="009C4A3A">
        <w:rPr>
          <w:rFonts w:ascii="Times New Roman" w:eastAsia="Times New Roman" w:hAnsi="Times New Roman" w:cs="Times New Roman"/>
          <w:b/>
          <w:lang w:eastAsia="uk-UA"/>
        </w:rPr>
        <w:t>* 1,2 (ПДВ)</w:t>
      </w:r>
      <w:r w:rsidR="00271E6F">
        <w:rPr>
          <w:rFonts w:ascii="Times New Roman" w:eastAsia="Times New Roman" w:hAnsi="Times New Roman" w:cs="Times New Roman"/>
          <w:b/>
          <w:lang w:eastAsia="uk-UA"/>
        </w:rPr>
        <w:t>, де</w:t>
      </w:r>
    </w:p>
    <w:p w14:paraId="187009D1" w14:textId="1A4138F5" w:rsidR="001D08B0" w:rsidRPr="009C4A3A" w:rsidRDefault="001D08B0" w:rsidP="00FB0778">
      <w:pPr>
        <w:spacing w:before="40" w:after="0" w:line="240" w:lineRule="auto"/>
        <w:ind w:firstLine="567"/>
        <w:jc w:val="both"/>
        <w:rPr>
          <w:rFonts w:ascii="Times New Roman" w:eastAsia="Times New Roman" w:hAnsi="Times New Roman" w:cs="Times New Roman"/>
          <w:i/>
          <w:lang w:eastAsia="uk-UA"/>
        </w:rPr>
      </w:pPr>
      <w:proofErr w:type="spellStart"/>
      <w:r w:rsidRPr="00271E6F">
        <w:rPr>
          <w:rFonts w:ascii="Times New Roman" w:eastAsia="Times New Roman" w:hAnsi="Times New Roman" w:cs="Times New Roman"/>
          <w:b/>
          <w:bCs/>
          <w:i/>
          <w:lang w:eastAsia="uk-UA"/>
        </w:rPr>
        <w:t>Ц</w:t>
      </w:r>
      <w:r w:rsidRPr="00271E6F">
        <w:rPr>
          <w:rFonts w:ascii="Times New Roman" w:eastAsia="Times New Roman" w:hAnsi="Times New Roman" w:cs="Times New Roman"/>
          <w:b/>
          <w:bCs/>
          <w:i/>
          <w:vertAlign w:val="subscript"/>
          <w:lang w:eastAsia="uk-UA"/>
        </w:rPr>
        <w:t>ел.ен</w:t>
      </w:r>
      <w:proofErr w:type="spellEnd"/>
      <w:r w:rsidRPr="009C4A3A">
        <w:rPr>
          <w:rFonts w:ascii="Times New Roman" w:eastAsia="Times New Roman" w:hAnsi="Times New Roman" w:cs="Times New Roman"/>
          <w:i/>
          <w:lang w:eastAsia="uk-UA"/>
        </w:rPr>
        <w:t xml:space="preserve"> – тариф на електричну енергію </w:t>
      </w:r>
    </w:p>
    <w:p w14:paraId="1D3543E3"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r w:rsidRPr="00271E6F">
        <w:rPr>
          <w:rFonts w:ascii="Times New Roman" w:eastAsia="Times New Roman" w:hAnsi="Times New Roman" w:cs="Times New Roman"/>
          <w:b/>
          <w:bCs/>
          <w:i/>
          <w:lang w:eastAsia="uk-UA"/>
        </w:rPr>
        <w:t>Ц</w:t>
      </w:r>
      <w:r w:rsidRPr="00271E6F">
        <w:rPr>
          <w:rFonts w:ascii="Times New Roman" w:eastAsia="Times New Roman" w:hAnsi="Times New Roman" w:cs="Times New Roman"/>
          <w:b/>
          <w:bCs/>
          <w:i/>
          <w:vertAlign w:val="subscript"/>
          <w:lang w:eastAsia="uk-UA"/>
        </w:rPr>
        <w:t>РДН</w:t>
      </w:r>
      <w:r w:rsidRPr="009C4A3A">
        <w:rPr>
          <w:rFonts w:ascii="Times New Roman" w:eastAsia="Times New Roman" w:hAnsi="Times New Roman" w:cs="Times New Roman"/>
          <w:i/>
          <w:lang w:eastAsia="uk-UA"/>
        </w:rPr>
        <w:t xml:space="preserve"> – середньозважена ціна закупівлі електроенергії на Ринку електричної енергії РДН, </w:t>
      </w:r>
    </w:p>
    <w:p w14:paraId="28850642"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proofErr w:type="spellStart"/>
      <w:r w:rsidRPr="00FB0778">
        <w:rPr>
          <w:rFonts w:ascii="Times New Roman" w:eastAsia="Times New Roman" w:hAnsi="Times New Roman" w:cs="Times New Roman"/>
          <w:b/>
          <w:bCs/>
          <w:i/>
          <w:lang w:eastAsia="uk-UA"/>
        </w:rPr>
        <w:t>Т</w:t>
      </w:r>
      <w:r w:rsidRPr="00FB0778">
        <w:rPr>
          <w:rFonts w:ascii="Times New Roman" w:eastAsia="Times New Roman" w:hAnsi="Times New Roman" w:cs="Times New Roman"/>
          <w:b/>
          <w:bCs/>
          <w:i/>
          <w:vertAlign w:val="subscript"/>
          <w:lang w:eastAsia="uk-UA"/>
        </w:rPr>
        <w:t>пост</w:t>
      </w:r>
      <w:proofErr w:type="spellEnd"/>
      <w:r w:rsidRPr="009C4A3A">
        <w:rPr>
          <w:rFonts w:ascii="Times New Roman" w:eastAsia="Times New Roman" w:hAnsi="Times New Roman" w:cs="Times New Roman"/>
          <w:i/>
          <w:lang w:eastAsia="uk-UA"/>
        </w:rPr>
        <w:t xml:space="preserve"> – тариф Постачальника, який зображений у вигляді коефіцієнту дохідності</w:t>
      </w:r>
    </w:p>
    <w:p w14:paraId="124DE5F9"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r w:rsidRPr="009C4A3A">
        <w:rPr>
          <w:rFonts w:ascii="Times New Roman" w:eastAsia="Times New Roman" w:hAnsi="Times New Roman" w:cs="Times New Roman"/>
          <w:i/>
          <w:lang w:eastAsia="uk-UA"/>
        </w:rPr>
        <w:t xml:space="preserve">Коефіцієнт дохідності становить: </w:t>
      </w:r>
      <w:r>
        <w:rPr>
          <w:rFonts w:ascii="Times New Roman" w:eastAsia="Times New Roman" w:hAnsi="Times New Roman" w:cs="Times New Roman"/>
          <w:i/>
          <w:lang w:eastAsia="uk-UA"/>
        </w:rPr>
        <w:t>1,1</w:t>
      </w:r>
      <w:r w:rsidRPr="009C4A3A">
        <w:rPr>
          <w:rFonts w:ascii="Times New Roman" w:eastAsia="Times New Roman" w:hAnsi="Times New Roman" w:cs="Times New Roman"/>
          <w:i/>
          <w:lang w:eastAsia="uk-UA"/>
        </w:rPr>
        <w:t>;(може містити не більше двох знаків після коми та не може бути меншим за одиницю)</w:t>
      </w:r>
    </w:p>
    <w:p w14:paraId="517C4CAF" w14:textId="556B83CB" w:rsidR="001D08B0" w:rsidRDefault="001D08B0" w:rsidP="001D08B0">
      <w:pPr>
        <w:spacing w:before="40" w:after="0" w:line="240" w:lineRule="auto"/>
        <w:ind w:firstLine="567"/>
        <w:jc w:val="both"/>
        <w:rPr>
          <w:rFonts w:ascii="Times New Roman" w:eastAsia="Times New Roman" w:hAnsi="Times New Roman" w:cs="Times New Roman"/>
          <w:i/>
          <w:lang w:eastAsia="uk-UA"/>
        </w:rPr>
      </w:pPr>
      <w:r w:rsidRPr="00FB0778">
        <w:rPr>
          <w:rFonts w:ascii="Times New Roman" w:eastAsia="Times New Roman" w:hAnsi="Times New Roman" w:cs="Times New Roman"/>
          <w:b/>
          <w:bCs/>
          <w:i/>
          <w:lang w:eastAsia="uk-UA"/>
        </w:rPr>
        <w:t>Т</w:t>
      </w:r>
      <w:r w:rsidRPr="00FB0778">
        <w:rPr>
          <w:rFonts w:ascii="Times New Roman" w:eastAsia="Times New Roman" w:hAnsi="Times New Roman" w:cs="Times New Roman"/>
          <w:b/>
          <w:bCs/>
          <w:i/>
          <w:vertAlign w:val="subscript"/>
          <w:lang w:eastAsia="uk-UA"/>
        </w:rPr>
        <w:t>ОСП</w:t>
      </w:r>
      <w:r w:rsidRPr="00FB0778">
        <w:rPr>
          <w:rFonts w:ascii="Times New Roman" w:eastAsia="Times New Roman" w:hAnsi="Times New Roman" w:cs="Times New Roman"/>
          <w:b/>
          <w:bCs/>
          <w:i/>
          <w:lang w:eastAsia="uk-UA"/>
        </w:rPr>
        <w:t xml:space="preserve"> </w:t>
      </w:r>
      <w:r w:rsidRPr="009C4A3A">
        <w:rPr>
          <w:rFonts w:ascii="Times New Roman" w:eastAsia="Times New Roman" w:hAnsi="Times New Roman" w:cs="Times New Roman"/>
          <w:i/>
          <w:lang w:eastAsia="uk-UA"/>
        </w:rPr>
        <w:t>– тариф на послуги з передачі Оператора системи передач</w:t>
      </w:r>
    </w:p>
    <w:p w14:paraId="18ABDAB7" w14:textId="77777777" w:rsidR="00FB0778" w:rsidRPr="009C4A3A" w:rsidRDefault="00FB0778" w:rsidP="001D08B0">
      <w:pPr>
        <w:spacing w:before="40" w:after="0" w:line="240" w:lineRule="auto"/>
        <w:ind w:firstLine="567"/>
        <w:jc w:val="both"/>
        <w:rPr>
          <w:rFonts w:ascii="Times New Roman" w:eastAsia="Times New Roman" w:hAnsi="Times New Roman" w:cs="Times New Roman"/>
          <w:i/>
          <w:lang w:eastAsia="uk-UA"/>
        </w:rPr>
      </w:pPr>
    </w:p>
    <w:p w14:paraId="085A417C" w14:textId="77777777" w:rsidR="00FB0778" w:rsidRPr="00FB0778" w:rsidRDefault="00FB0778" w:rsidP="00FB0778">
      <w:pPr>
        <w:spacing w:before="40" w:after="0" w:line="240" w:lineRule="auto"/>
        <w:ind w:firstLine="567"/>
        <w:jc w:val="both"/>
        <w:rPr>
          <w:rFonts w:ascii="Times New Roman" w:eastAsia="Times New Roman" w:hAnsi="Times New Roman" w:cs="Times New Roman"/>
          <w:b/>
          <w:bCs/>
          <w:sz w:val="24"/>
          <w:szCs w:val="24"/>
          <w:lang w:eastAsia="uk-UA" w:bidi="en-US"/>
        </w:rPr>
      </w:pPr>
      <w:r w:rsidRPr="00FB0778">
        <w:rPr>
          <w:rFonts w:ascii="Times New Roman" w:hAnsi="Times New Roman" w:cs="Times New Roman"/>
        </w:rPr>
        <w:t>Ціна може змінюватися у зв’язку із змінами складових витрат, які впливають на її формування (згідно з нормативними документами)</w:t>
      </w:r>
    </w:p>
    <w:p w14:paraId="205850E9" w14:textId="7724CBCA" w:rsidR="006C4F57" w:rsidRDefault="006C4F57" w:rsidP="001D08B0">
      <w:pPr>
        <w:spacing w:before="40" w:after="0" w:line="240" w:lineRule="auto"/>
        <w:ind w:firstLine="567"/>
        <w:jc w:val="both"/>
        <w:rPr>
          <w:rFonts w:ascii="Times New Roman" w:eastAsia="Times New Roman" w:hAnsi="Times New Roman" w:cs="Times New Roman"/>
          <w:i/>
          <w:lang w:eastAsia="uk-UA"/>
        </w:rPr>
      </w:pPr>
    </w:p>
    <w:p w14:paraId="0F3AF312" w14:textId="310B5DF8" w:rsidR="006C4F57" w:rsidRDefault="006C4F57" w:rsidP="006C4F57">
      <w:pPr>
        <w:spacing w:before="40" w:after="0" w:line="240" w:lineRule="auto"/>
        <w:ind w:firstLine="567"/>
        <w:jc w:val="both"/>
        <w:rPr>
          <w:rFonts w:ascii="Times New Roman" w:eastAsia="Times New Roman" w:hAnsi="Times New Roman" w:cs="Times New Roman"/>
          <w:b/>
          <w:bCs/>
          <w:sz w:val="24"/>
          <w:szCs w:val="24"/>
          <w:lang w:eastAsia="uk-UA" w:bidi="en-US"/>
        </w:rPr>
      </w:pPr>
      <w:r>
        <w:rPr>
          <w:rFonts w:ascii="Times New Roman" w:eastAsia="Times New Roman" w:hAnsi="Times New Roman" w:cs="Times New Roman"/>
          <w:b/>
          <w:bCs/>
          <w:sz w:val="24"/>
          <w:szCs w:val="24"/>
          <w:lang w:eastAsia="uk-UA" w:bidi="en-US"/>
        </w:rPr>
        <w:t xml:space="preserve">Ціна на електричну енергію за 1 кВт/год на момент публікації комерційної пропозиції становить  </w:t>
      </w:r>
      <w:r w:rsidRPr="008E6A07">
        <w:rPr>
          <w:rFonts w:ascii="Times New Roman" w:eastAsia="Times New Roman" w:hAnsi="Times New Roman" w:cs="Times New Roman"/>
          <w:b/>
          <w:bCs/>
          <w:sz w:val="24"/>
          <w:szCs w:val="24"/>
          <w:lang w:eastAsia="uk-UA" w:bidi="en-US"/>
        </w:rPr>
        <w:t xml:space="preserve"> = </w:t>
      </w:r>
      <w:r>
        <w:rPr>
          <w:rFonts w:ascii="Times New Roman" w:eastAsia="Times New Roman" w:hAnsi="Times New Roman" w:cs="Times New Roman"/>
          <w:b/>
          <w:bCs/>
          <w:sz w:val="24"/>
          <w:szCs w:val="24"/>
          <w:lang w:eastAsia="uk-UA" w:bidi="en-US"/>
        </w:rPr>
        <w:t xml:space="preserve"> </w:t>
      </w:r>
      <w:r w:rsidR="007755B9">
        <w:rPr>
          <w:rFonts w:ascii="Times New Roman" w:eastAsia="Times New Roman" w:hAnsi="Times New Roman" w:cs="Times New Roman"/>
          <w:b/>
          <w:bCs/>
          <w:sz w:val="24"/>
          <w:szCs w:val="24"/>
          <w:lang w:eastAsia="uk-UA" w:bidi="en-US"/>
        </w:rPr>
        <w:t>11</w:t>
      </w:r>
      <w:r>
        <w:rPr>
          <w:rFonts w:ascii="Times New Roman" w:eastAsia="Times New Roman" w:hAnsi="Times New Roman" w:cs="Times New Roman"/>
          <w:b/>
          <w:bCs/>
          <w:sz w:val="24"/>
          <w:szCs w:val="24"/>
          <w:lang w:eastAsia="uk-UA" w:bidi="en-US"/>
        </w:rPr>
        <w:t>,</w:t>
      </w:r>
      <w:r w:rsidR="007755B9">
        <w:rPr>
          <w:rFonts w:ascii="Times New Roman" w:eastAsia="Times New Roman" w:hAnsi="Times New Roman" w:cs="Times New Roman"/>
          <w:b/>
          <w:bCs/>
          <w:sz w:val="24"/>
          <w:szCs w:val="24"/>
          <w:lang w:eastAsia="uk-UA" w:bidi="en-US"/>
        </w:rPr>
        <w:t>88624</w:t>
      </w:r>
      <w:r>
        <w:rPr>
          <w:rFonts w:ascii="Times New Roman" w:eastAsia="Times New Roman" w:hAnsi="Times New Roman" w:cs="Times New Roman"/>
          <w:b/>
          <w:bCs/>
          <w:sz w:val="24"/>
          <w:szCs w:val="24"/>
          <w:lang w:eastAsia="uk-UA" w:bidi="en-US"/>
        </w:rPr>
        <w:t xml:space="preserve"> грн/кВт з ПДВ</w:t>
      </w:r>
    </w:p>
    <w:p w14:paraId="1C20C119" w14:textId="3757E690" w:rsidR="005C1623" w:rsidRPr="00435B48" w:rsidRDefault="005C1623" w:rsidP="005C1623">
      <w:pPr>
        <w:spacing w:before="40" w:after="0" w:line="240" w:lineRule="auto"/>
        <w:jc w:val="both"/>
        <w:rPr>
          <w:rFonts w:ascii="Times New Roman" w:eastAsia="Times New Roman" w:hAnsi="Times New Roman" w:cs="Times New Roman"/>
          <w:b/>
          <w:bCs/>
          <w:sz w:val="24"/>
          <w:szCs w:val="24"/>
          <w:lang w:eastAsia="uk-UA" w:bidi="en-US"/>
        </w:rPr>
      </w:pPr>
    </w:p>
    <w:p w14:paraId="39F0AEDE" w14:textId="714FB56A" w:rsidR="001D08B0"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 </w:t>
      </w:r>
      <w:r w:rsidR="00FB0778" w:rsidRPr="00435B48">
        <w:rPr>
          <w:rFonts w:ascii="Times New Roman" w:hAnsi="Times New Roman" w:cs="Times New Roman"/>
        </w:rPr>
        <w:t>Сторони узгодили, що Постачальник має право змінити ціну або здійснити коригування ціни електричної енергії для здійснення остаточних розрахунків (за попередній розрахунковий період) у разі, якщо відбулося відхилення ціни, розрахованої згідно з оперативними даними Оператора ринку, Адміністратора розрахунків та учасниками ДД (за наявності ДД), до уточнених фактичних значень. Фактична ціна, яка склалася на ринку електричної енергії і за якою будуть проведені розрахунки, буде зазначена у фактичному рахунку після складання актів купівлі продажу електричної енергії Постачальника з Оператором ринку, учасниками ДД (за наявності ДД) та актів купівлі-продажу електричної енергії для врегулювання небалансів Адміністратором розрахунків. Уточнена фактична ціна щомісяця оприлюднюється в Особистому кабінеті на офіційному веб-сайті Постачальника. Сума податку на додану вартість (ПДВ) нараховується згідно з Податковим кодексом України.</w:t>
      </w:r>
    </w:p>
    <w:p w14:paraId="70813CAA" w14:textId="14AFB985" w:rsidR="00FB0778"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2. </w:t>
      </w:r>
      <w:r w:rsidR="00FB0778" w:rsidRPr="00435B48">
        <w:rPr>
          <w:rFonts w:ascii="Times New Roman" w:hAnsi="Times New Roman" w:cs="Times New Roman"/>
          <w:b/>
          <w:bCs/>
        </w:rPr>
        <w:t>Оплата за послугу з розподілу</w:t>
      </w:r>
      <w:r w:rsidR="00FB0778" w:rsidRPr="00435B48">
        <w:rPr>
          <w:rFonts w:ascii="Times New Roman" w:hAnsi="Times New Roman" w:cs="Times New Roman"/>
        </w:rPr>
        <w:t xml:space="preserve"> - с</w:t>
      </w:r>
      <w:r w:rsidR="00FB0778" w:rsidRPr="00435B48">
        <w:rPr>
          <w:rFonts w:ascii="Times New Roman" w:hAnsi="Times New Roman" w:cs="Times New Roman"/>
        </w:rPr>
        <w:t>поживач сплачує за послугу з розподілу електричної енергії самостійно відповідно до укладеного договору з оператором системи розподілу.</w:t>
      </w:r>
    </w:p>
    <w:p w14:paraId="6495333D" w14:textId="4ADBA48B" w:rsidR="00FB0778" w:rsidRPr="00435B48" w:rsidRDefault="00FB0778" w:rsidP="001D08B0">
      <w:pPr>
        <w:spacing w:before="40" w:after="0" w:line="240" w:lineRule="auto"/>
        <w:ind w:firstLine="567"/>
        <w:jc w:val="both"/>
        <w:rPr>
          <w:rFonts w:ascii="Times New Roman" w:hAnsi="Times New Roman" w:cs="Times New Roman"/>
        </w:rPr>
      </w:pPr>
    </w:p>
    <w:p w14:paraId="67444C39" w14:textId="5B33D1E9" w:rsidR="00FB0778"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lastRenderedPageBreak/>
        <w:t xml:space="preserve">3. </w:t>
      </w:r>
      <w:r w:rsidRPr="00435B48">
        <w:rPr>
          <w:rFonts w:ascii="Times New Roman" w:hAnsi="Times New Roman" w:cs="Times New Roman"/>
          <w:b/>
          <w:bCs/>
        </w:rPr>
        <w:t>Оплата за послуг</w:t>
      </w:r>
      <w:r w:rsidRPr="00435B48">
        <w:rPr>
          <w:rFonts w:ascii="Times New Roman" w:hAnsi="Times New Roman" w:cs="Times New Roman"/>
          <w:b/>
          <w:bCs/>
        </w:rPr>
        <w:t>и</w:t>
      </w:r>
      <w:r w:rsidRPr="00435B48">
        <w:rPr>
          <w:rFonts w:ascii="Times New Roman" w:hAnsi="Times New Roman" w:cs="Times New Roman"/>
          <w:b/>
          <w:bCs/>
        </w:rPr>
        <w:t xml:space="preserve"> передачі</w:t>
      </w:r>
      <w:r w:rsidRPr="00435B48">
        <w:rPr>
          <w:rFonts w:ascii="Times New Roman" w:hAnsi="Times New Roman" w:cs="Times New Roman"/>
        </w:rPr>
        <w:t xml:space="preserve"> - с</w:t>
      </w:r>
      <w:r w:rsidRPr="00435B48">
        <w:rPr>
          <w:rFonts w:ascii="Times New Roman" w:hAnsi="Times New Roman" w:cs="Times New Roman"/>
        </w:rPr>
        <w:t>поживач сплачує за послугу з передачі електричної енергії через Постачальника.</w:t>
      </w:r>
      <w:r w:rsidRPr="00435B48">
        <w:rPr>
          <w:rFonts w:ascii="Times New Roman" w:hAnsi="Times New Roman" w:cs="Times New Roman"/>
        </w:rPr>
        <w:t xml:space="preserve"> </w:t>
      </w:r>
    </w:p>
    <w:p w14:paraId="6F6E625C" w14:textId="3FC9DCC1"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4. </w:t>
      </w:r>
      <w:r w:rsidRPr="00435B48">
        <w:rPr>
          <w:rFonts w:ascii="Times New Roman" w:hAnsi="Times New Roman" w:cs="Times New Roman"/>
          <w:b/>
          <w:bCs/>
        </w:rPr>
        <w:t>Розрахунковим періодом</w:t>
      </w:r>
      <w:r w:rsidRPr="00435B48">
        <w:rPr>
          <w:rFonts w:ascii="Times New Roman" w:hAnsi="Times New Roman" w:cs="Times New Roman"/>
        </w:rPr>
        <w:t xml:space="preserve"> є календарний місяць, який починається з 01 числа місяця та закінчується в останній день місяця.</w:t>
      </w:r>
    </w:p>
    <w:p w14:paraId="3E26A045" w14:textId="1BEED2B6"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5. </w:t>
      </w:r>
      <w:r w:rsidRPr="00435B48">
        <w:rPr>
          <w:rFonts w:ascii="Times New Roman" w:hAnsi="Times New Roman" w:cs="Times New Roman"/>
        </w:rPr>
        <w:t>Можливість застосування тарифних коефіцієнтів</w:t>
      </w:r>
      <w:r w:rsidRPr="00435B48">
        <w:rPr>
          <w:rFonts w:ascii="Times New Roman" w:hAnsi="Times New Roman" w:cs="Times New Roman"/>
        </w:rPr>
        <w:t xml:space="preserve"> - н</w:t>
      </w:r>
      <w:r w:rsidRPr="00435B48">
        <w:rPr>
          <w:rFonts w:ascii="Times New Roman" w:hAnsi="Times New Roman" w:cs="Times New Roman"/>
        </w:rPr>
        <w:t>е застосовуються.</w:t>
      </w:r>
    </w:p>
    <w:p w14:paraId="34165234" w14:textId="7BB7D1B5"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6. </w:t>
      </w:r>
      <w:r w:rsidRPr="00435B48">
        <w:rPr>
          <w:rFonts w:ascii="Times New Roman" w:hAnsi="Times New Roman" w:cs="Times New Roman"/>
          <w:b/>
          <w:bCs/>
        </w:rPr>
        <w:t>О</w:t>
      </w:r>
      <w:r w:rsidRPr="00435B48">
        <w:rPr>
          <w:rFonts w:ascii="Times New Roman" w:hAnsi="Times New Roman" w:cs="Times New Roman"/>
          <w:b/>
          <w:bCs/>
        </w:rPr>
        <w:t>бсяги споживання електричної енергії</w:t>
      </w:r>
      <w:r w:rsidRPr="00435B48">
        <w:rPr>
          <w:rFonts w:ascii="Times New Roman" w:hAnsi="Times New Roman" w:cs="Times New Roman"/>
          <w:b/>
          <w:bCs/>
        </w:rPr>
        <w:t xml:space="preserve"> - с</w:t>
      </w:r>
      <w:r w:rsidRPr="00435B48">
        <w:rPr>
          <w:rFonts w:ascii="Times New Roman" w:hAnsi="Times New Roman" w:cs="Times New Roman"/>
        </w:rPr>
        <w:t>поживач надає Постачальнику інформацію про скориговане споживання електричної енергії на наступний розрахунковий місяць (прогнозний графік) до 25 числа (включно) місяця, що передує розрахунковому. Коригування у бік збільшення здійснюється за умови попередньої оплати додатково заявлених обсягів. За підсумками розрахункового періоду до Споживача може бути застосований штраф у розмірі вартості величини обсягу, що перевищує 5% відхилення прогнозованого (заявленого) обсягу споживання електричної енергії від фактичного споживання.</w:t>
      </w:r>
    </w:p>
    <w:p w14:paraId="55F50623" w14:textId="6060C3E4"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7. </w:t>
      </w:r>
      <w:r w:rsidRPr="00435B48">
        <w:rPr>
          <w:rFonts w:ascii="Times New Roman" w:hAnsi="Times New Roman" w:cs="Times New Roman"/>
        </w:rPr>
        <w:t>Можливість надання пільг, субсидій</w:t>
      </w:r>
      <w:r w:rsidRPr="00435B48">
        <w:rPr>
          <w:rFonts w:ascii="Times New Roman" w:hAnsi="Times New Roman" w:cs="Times New Roman"/>
        </w:rPr>
        <w:t xml:space="preserve"> – не надаються</w:t>
      </w:r>
    </w:p>
    <w:p w14:paraId="7B47E016" w14:textId="19191A9C"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8. </w:t>
      </w:r>
      <w:r w:rsidRPr="00435B48">
        <w:rPr>
          <w:rFonts w:ascii="Times New Roman" w:hAnsi="Times New Roman" w:cs="Times New Roman"/>
          <w:b/>
          <w:bCs/>
        </w:rPr>
        <w:t xml:space="preserve">Термін та порядок </w:t>
      </w:r>
      <w:r w:rsidRPr="00435B48">
        <w:rPr>
          <w:rFonts w:ascii="Times New Roman" w:hAnsi="Times New Roman" w:cs="Times New Roman"/>
          <w:b/>
          <w:bCs/>
        </w:rPr>
        <w:t>розрахунків</w:t>
      </w:r>
      <w:r w:rsidRPr="00435B48">
        <w:rPr>
          <w:rFonts w:ascii="Times New Roman" w:hAnsi="Times New Roman" w:cs="Times New Roman"/>
        </w:rPr>
        <w:t xml:space="preserve"> - р</w:t>
      </w:r>
      <w:r w:rsidRPr="00435B48">
        <w:rPr>
          <w:rFonts w:ascii="Times New Roman" w:hAnsi="Times New Roman" w:cs="Times New Roman"/>
        </w:rPr>
        <w:t>ахунок за фактично спожиту електричну енергію надається Споживачу не пізніше 10 календарного дня місяця, наступного за розрахунковим</w:t>
      </w:r>
      <w:r w:rsidRPr="00435B48">
        <w:rPr>
          <w:rFonts w:ascii="Times New Roman" w:hAnsi="Times New Roman" w:cs="Times New Roman"/>
        </w:rPr>
        <w:t xml:space="preserve"> </w:t>
      </w:r>
    </w:p>
    <w:p w14:paraId="29E38A01" w14:textId="731E9CFF"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Оплата електричної енергії здійснюється Споживачем у формі попередньої оплати. Розмір попередньої оплати визначається на підставі прогнозованих (заявлених) обсягів споживання електричної енергії на розрахунковий період. Перерахування коштів на попередню оплату здійснюється Споживачем у розмірі повної вартості прогнозованого обсягу (100%) не пізніше, ніж за 6 календарних днів до дати початку розрахункового періоду.</w:t>
      </w:r>
    </w:p>
    <w:p w14:paraId="7879EA07" w14:textId="7A679375"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На підставі отриманих даних комерційного обліку, після закінчення розрахункового періоду Постачальник, з урахуванням суми здійсненої Споживачем попередньої оплати, проводить коригування обсягів оплати, що була здійснена Споживачем за розрахунковий період, та формує Споживачу рахунок на оплату за фактично спожиту електричну енергію у такому розрахунковому періоді з відображенням проведеного перерахунку (зменшенням платежу на суму здійсненої попередньої оплати). Якщо обсяг фактично спожитої електричної енергії виявиться більшим ніж прогнозований, різниця між сумою попередньої оплати та вартістю фактично спожитої електричної енергії має бути сплачена Споживачем протягом 5 робочих днів з дня отримання рахунку за фактично спожиту електричну енергію або самостійно сформованим платіжним документом, але в будь-якому випадку не пізніше 20 календарного дня місяця наступного за розрахунковим. Якщо обсяг фактично спожитої електричної енергії виявиться меншим ніж прогнозований, то надлишкові кошти зараховуються як оплата наступних періодів. Якщо Споживач не оплатив виставлений платіжний документ або оплатив його із запізненням або якщо він перебуває в стані ліквідації чи реорганізації, готується до ліквідації, Постачальник має право, встановити більш короткий розрахунковий період або звернутися з вимогою щодо надання гарантій належного виконання договірних зобов’язань, а Споживач зобов’язаний задовільнити таку вимогу.</w:t>
      </w:r>
    </w:p>
    <w:p w14:paraId="7290DEB2" w14:textId="74FDD88D"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9. </w:t>
      </w:r>
      <w:r w:rsidRPr="00435B48">
        <w:rPr>
          <w:rFonts w:ascii="Times New Roman" w:hAnsi="Times New Roman" w:cs="Times New Roman"/>
          <w:b/>
          <w:bCs/>
        </w:rPr>
        <w:t>Спосіб оплати</w:t>
      </w:r>
      <w:r w:rsidRPr="00435B48">
        <w:rPr>
          <w:rFonts w:ascii="Times New Roman" w:hAnsi="Times New Roman" w:cs="Times New Roman"/>
        </w:rPr>
        <w:t xml:space="preserve"> - р</w:t>
      </w:r>
      <w:r w:rsidRPr="00435B48">
        <w:rPr>
          <w:rFonts w:ascii="Times New Roman" w:hAnsi="Times New Roman" w:cs="Times New Roman"/>
        </w:rPr>
        <w:t>озрахунки за електричну енергію здійснюються виключно в грошовій формі відповідно до умов Договору, шляхом перерахування коштів: - на поточний рахунок із спеціальним режимом використання Постачальника, вказаний у рахунку на оплату, на сайті Постачальника та в Договорі про постачання електричної енергії споживачу.</w:t>
      </w:r>
    </w:p>
    <w:p w14:paraId="230F7BC0" w14:textId="42D3EB11" w:rsidR="005C1623"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10. </w:t>
      </w:r>
      <w:r w:rsidRPr="00435B48">
        <w:rPr>
          <w:rFonts w:ascii="Times New Roman" w:hAnsi="Times New Roman" w:cs="Times New Roman"/>
          <w:b/>
          <w:bCs/>
        </w:rPr>
        <w:t>Розмір пені за порушення строку оплати</w:t>
      </w:r>
      <w:r w:rsidRPr="00435B48">
        <w:rPr>
          <w:rFonts w:ascii="Times New Roman" w:hAnsi="Times New Roman" w:cs="Times New Roman"/>
        </w:rPr>
        <w:t xml:space="preserve"> - з</w:t>
      </w:r>
      <w:r w:rsidR="005C1623" w:rsidRPr="00435B48">
        <w:rPr>
          <w:rFonts w:ascii="Times New Roman" w:hAnsi="Times New Roman" w:cs="Times New Roman"/>
        </w:rPr>
        <w:t>а внесення платежів, передбачених умовами Договору, з порушенням термінів, визначених цією комерційною пропозицією, Споживач сплачує Постачальнику пеню у розмірі подвійної облікової ставки НБУ від суми заборгованості, що нараховується за кожен день прострочення платежу без обмеження періоду її нарахування до дати повної оплати, а також 3% річних від суми боргу та інфляційні втрати з урахуванням встановленого індексу інфляції за весь період прострочення.</w:t>
      </w:r>
    </w:p>
    <w:p w14:paraId="56EDC264" w14:textId="66715E9A"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11. </w:t>
      </w:r>
      <w:r w:rsidRPr="00435B48">
        <w:rPr>
          <w:rFonts w:ascii="Times New Roman" w:hAnsi="Times New Roman" w:cs="Times New Roman"/>
          <w:b/>
          <w:bCs/>
        </w:rPr>
        <w:t>Інші штрафні санкції</w:t>
      </w:r>
      <w:r w:rsidRPr="00435B48">
        <w:rPr>
          <w:rFonts w:ascii="Times New Roman" w:hAnsi="Times New Roman" w:cs="Times New Roman"/>
        </w:rPr>
        <w:t xml:space="preserve"> - </w:t>
      </w:r>
      <w:r w:rsidRPr="00435B48">
        <w:rPr>
          <w:rFonts w:ascii="Times New Roman" w:hAnsi="Times New Roman" w:cs="Times New Roman"/>
        </w:rPr>
        <w:t xml:space="preserve">У разі дострокового припинення (розірвання) Договору за ініціативою Споживача, Споживач зобов'язаний сплатити Постачальнику штраф у розмірі вартості електричної енергії, замовленої Споживачем як прогнозований договірний обсяг споживання електричної енергії в місяці, в якому Постачальником було отримано повідомлення про дострокове припинення (розірвання) Договору. У випадку не повідомлення або повідомлення з порушенням строків Постачальника про дострокове припинення (розірвання) Договору Споживачем (тобто менше ніж за 21 календарний день до дати припинення (розірвання) Договору)), Споживач сплачує штраф у розмірі подвійної вартості електричної енергії, спожитої за розрахунковий період, який передував даті отримання Постачальником повідомлення (інформації) про необхідність припинення дії (розірвання) Договору (направлене споживачем, адміністратором комерційного обліку, </w:t>
      </w:r>
      <w:r w:rsidRPr="00435B48">
        <w:rPr>
          <w:rFonts w:ascii="Times New Roman" w:hAnsi="Times New Roman" w:cs="Times New Roman"/>
        </w:rPr>
        <w:lastRenderedPageBreak/>
        <w:t>оператором системи тощо). Штрафні санкції, передбачені даним розділом Комерційної пропозиції, не застосовуються у випадку, якщо Договір буде розірвано у разі не згоди Споживача із новими умовами Договору, в тому числі щодо зміни ціни за електричну енергію, за умови, що Споживачем буде надано про це відповідне повідомлення Постачальнику згідно з умовами Договору.</w:t>
      </w:r>
    </w:p>
    <w:p w14:paraId="17D5A904" w14:textId="6A83DE81" w:rsidR="005C1623"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12. </w:t>
      </w:r>
      <w:r w:rsidR="005C1623" w:rsidRPr="00435B48">
        <w:rPr>
          <w:rFonts w:ascii="Times New Roman" w:hAnsi="Times New Roman" w:cs="Times New Roman"/>
        </w:rPr>
        <w:t>Компенсація за недотримання Постачальником комерційної якості надання послуг надається у порядку та розмірі, визначеному Регулятором.</w:t>
      </w:r>
    </w:p>
    <w:p w14:paraId="3718791E" w14:textId="7F371522"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b/>
          <w:bCs/>
        </w:rPr>
        <w:t>Дана комерційна пропозиція є публічною та є невід’ємною частиною Договору</w:t>
      </w:r>
      <w:r w:rsidRPr="00435B48">
        <w:rPr>
          <w:rFonts w:ascii="Times New Roman" w:hAnsi="Times New Roman" w:cs="Times New Roman"/>
        </w:rPr>
        <w:t>.</w:t>
      </w:r>
    </w:p>
    <w:p w14:paraId="031D57F4" w14:textId="4D33609D" w:rsidR="005C1623" w:rsidRDefault="005C1623" w:rsidP="001D08B0">
      <w:pPr>
        <w:spacing w:before="40" w:after="0" w:line="240" w:lineRule="auto"/>
        <w:ind w:firstLine="567"/>
        <w:jc w:val="both"/>
        <w:rPr>
          <w:rFonts w:ascii="Times New Roman" w:hAnsi="Times New Roman" w:cs="Times New Roman"/>
        </w:rPr>
      </w:pPr>
    </w:p>
    <w:p w14:paraId="470E4674" w14:textId="0EF36290" w:rsidR="00435B48" w:rsidRPr="003725EB" w:rsidRDefault="003725EB" w:rsidP="003725EB">
      <w:pPr>
        <w:spacing w:before="40" w:after="0" w:line="240" w:lineRule="auto"/>
        <w:jc w:val="both"/>
        <w:rPr>
          <w:rFonts w:ascii="Times New Roman" w:hAnsi="Times New Roman" w:cs="Times New Roman"/>
          <w:sz w:val="20"/>
          <w:szCs w:val="20"/>
        </w:rPr>
      </w:pPr>
      <w:r w:rsidRPr="003725EB">
        <w:rPr>
          <w:rFonts w:ascii="Times New Roman" w:hAnsi="Times New Roman" w:cs="Times New Roman"/>
        </w:rPr>
        <w:t xml:space="preserve">________________ </w:t>
      </w:r>
      <w:r>
        <w:rPr>
          <w:rFonts w:ascii="Times New Roman" w:hAnsi="Times New Roman" w:cs="Times New Roman"/>
        </w:rPr>
        <w:t xml:space="preserve">       </w:t>
      </w:r>
      <w:r w:rsidRPr="003725EB">
        <w:rPr>
          <w:rFonts w:ascii="Times New Roman" w:hAnsi="Times New Roman" w:cs="Times New Roman"/>
        </w:rPr>
        <w:t xml:space="preserve">___________________ </w:t>
      </w:r>
      <w:r>
        <w:rPr>
          <w:rFonts w:ascii="Times New Roman" w:hAnsi="Times New Roman" w:cs="Times New Roman"/>
        </w:rPr>
        <w:t xml:space="preserve">            </w:t>
      </w:r>
      <w:r w:rsidRPr="003725EB">
        <w:rPr>
          <w:rFonts w:ascii="Times New Roman" w:hAnsi="Times New Roman" w:cs="Times New Roman"/>
        </w:rPr>
        <w:t xml:space="preserve">__________________________________________ </w:t>
      </w:r>
      <w:r>
        <w:rPr>
          <w:rFonts w:ascii="Times New Roman" w:hAnsi="Times New Roman" w:cs="Times New Roman"/>
        </w:rPr>
        <w:t xml:space="preserve">            </w:t>
      </w:r>
      <w:r w:rsidRPr="003725EB">
        <w:rPr>
          <w:rFonts w:ascii="Times New Roman" w:hAnsi="Times New Roman" w:cs="Times New Roman"/>
          <w:sz w:val="20"/>
          <w:szCs w:val="20"/>
        </w:rPr>
        <w:t xml:space="preserve">(дата підписання) </w:t>
      </w:r>
      <w:r>
        <w:rPr>
          <w:rFonts w:ascii="Times New Roman" w:hAnsi="Times New Roman" w:cs="Times New Roman"/>
          <w:sz w:val="20"/>
          <w:szCs w:val="20"/>
        </w:rPr>
        <w:t xml:space="preserve">            </w:t>
      </w:r>
      <w:r w:rsidRPr="003725EB">
        <w:rPr>
          <w:rFonts w:ascii="Times New Roman" w:hAnsi="Times New Roman" w:cs="Times New Roman"/>
          <w:sz w:val="20"/>
          <w:szCs w:val="20"/>
        </w:rPr>
        <w:t>(особистий підпис, М.П.)</w:t>
      </w:r>
      <w:r>
        <w:rPr>
          <w:rFonts w:ascii="Times New Roman" w:hAnsi="Times New Roman" w:cs="Times New Roman"/>
          <w:sz w:val="20"/>
          <w:szCs w:val="20"/>
        </w:rPr>
        <w:t xml:space="preserve">          </w:t>
      </w:r>
      <w:r w:rsidRPr="003725EB">
        <w:rPr>
          <w:rFonts w:ascii="Times New Roman" w:hAnsi="Times New Roman" w:cs="Times New Roman"/>
          <w:sz w:val="20"/>
          <w:szCs w:val="20"/>
        </w:rPr>
        <w:t xml:space="preserve"> (П.І.Б. уповноваженого представника/ назва Споживача)</w:t>
      </w:r>
    </w:p>
    <w:sectPr w:rsidR="00435B48" w:rsidRPr="00372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79589B"/>
    <w:multiLevelType w:val="hybridMultilevel"/>
    <w:tmpl w:val="935EE610"/>
    <w:lvl w:ilvl="0" w:tplc="06347434">
      <w:start w:val="1"/>
      <w:numFmt w:val="decimal"/>
      <w:lvlText w:val="%1."/>
      <w:lvlJc w:val="left"/>
      <w:pPr>
        <w:ind w:left="1065" w:hanging="106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8B0"/>
    <w:rsid w:val="001D08B0"/>
    <w:rsid w:val="002268E6"/>
    <w:rsid w:val="00271E6F"/>
    <w:rsid w:val="003725EB"/>
    <w:rsid w:val="003A5A11"/>
    <w:rsid w:val="00435B48"/>
    <w:rsid w:val="005C1623"/>
    <w:rsid w:val="006C4F57"/>
    <w:rsid w:val="006C697A"/>
    <w:rsid w:val="007755B9"/>
    <w:rsid w:val="007A3A6B"/>
    <w:rsid w:val="00A177EE"/>
    <w:rsid w:val="00DC36A8"/>
    <w:rsid w:val="00DC5B98"/>
    <w:rsid w:val="00FB07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79FDC"/>
  <w15:chartTrackingRefBased/>
  <w15:docId w15:val="{55A6BAD0-12D7-4A55-8EA9-59C130B0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08B0"/>
    <w:rPr>
      <w:rFonts w:ascii="Calibri" w:eastAsia="Calibri" w:hAnsi="Calibri" w:cs="Calibri"/>
      <w:kern w:val="0"/>
      <w:lang w:eastAsia="ru-RU"/>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1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5146</Words>
  <Characters>2934</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trg.user15</dc:creator>
  <cp:keywords/>
  <dc:description/>
  <cp:lastModifiedBy>julia</cp:lastModifiedBy>
  <cp:revision>5</cp:revision>
  <cp:lastPrinted>2026-01-29T10:38:00Z</cp:lastPrinted>
  <dcterms:created xsi:type="dcterms:W3CDTF">2026-01-29T10:38:00Z</dcterms:created>
  <dcterms:modified xsi:type="dcterms:W3CDTF">2026-01-29T13:12:00Z</dcterms:modified>
</cp:coreProperties>
</file>